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3" w:rsidRPr="000E2AA3" w:rsidRDefault="000E2AA3" w:rsidP="000E2AA3">
      <w:pPr>
        <w:pStyle w:val="af0"/>
        <w:spacing w:before="0" w:after="0"/>
        <w:ind w:left="6237"/>
        <w:jc w:val="right"/>
        <w:rPr>
          <w:rStyle w:val="a4"/>
          <w:i w:val="0"/>
        </w:rPr>
      </w:pPr>
      <w:r w:rsidRPr="000E2AA3">
        <w:rPr>
          <w:rStyle w:val="a4"/>
          <w:i w:val="0"/>
        </w:rPr>
        <w:t xml:space="preserve">Приложение 4 </w:t>
      </w:r>
    </w:p>
    <w:p w:rsidR="000E2AA3" w:rsidRDefault="000E2AA3">
      <w:pPr>
        <w:pStyle w:val="af0"/>
        <w:spacing w:before="0" w:after="0"/>
        <w:ind w:left="6237"/>
        <w:rPr>
          <w:rStyle w:val="a4"/>
          <w:i w:val="0"/>
          <w:highlight w:val="yellow"/>
        </w:rPr>
      </w:pP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Приложение к письму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Министерства образования и науки </w:t>
      </w:r>
    </w:p>
    <w:p w:rsidR="00985122" w:rsidRPr="000E2AA3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 xml:space="preserve">Республики </w:t>
      </w:r>
      <w:r w:rsidRPr="000E2AA3">
        <w:rPr>
          <w:rStyle w:val="a4"/>
          <w:i w:val="0"/>
          <w:color w:val="000000"/>
        </w:rPr>
        <w:t>Дагестан</w:t>
      </w:r>
      <w:r w:rsidRPr="000E2AA3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0E2AA3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Pr="004762E0" w:rsidRDefault="00985122">
      <w:pPr>
        <w:pStyle w:val="af0"/>
        <w:spacing w:before="0" w:after="0"/>
        <w:jc w:val="center"/>
        <w:rPr>
          <w:b/>
        </w:rPr>
      </w:pPr>
      <w:r w:rsidRPr="004762E0">
        <w:rPr>
          <w:rStyle w:val="a4"/>
          <w:b/>
          <w:i w:val="0"/>
          <w:sz w:val="28"/>
          <w:szCs w:val="28"/>
        </w:rPr>
        <w:t>Рекомендации по регулированию отдельн</w:t>
      </w:r>
      <w:bookmarkStart w:id="0" w:name="_GoBack"/>
      <w:bookmarkEnd w:id="0"/>
      <w:r w:rsidRPr="004762E0">
        <w:rPr>
          <w:rStyle w:val="a4"/>
          <w:b/>
          <w:i w:val="0"/>
          <w:sz w:val="28"/>
          <w:szCs w:val="28"/>
        </w:rPr>
        <w:t>ых вопросов осуществления образовательного процесса в условиях дистанционного обучения</w:t>
      </w:r>
      <w:r w:rsidR="000E2AA3" w:rsidRPr="004762E0">
        <w:rPr>
          <w:rStyle w:val="a4"/>
          <w:b/>
          <w:i w:val="0"/>
          <w:sz w:val="28"/>
          <w:szCs w:val="28"/>
        </w:rPr>
        <w:t xml:space="preserve">, 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proofErr w:type="gramStart"/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>
        <w:rPr>
          <w:sz w:val="28"/>
          <w:szCs w:val="28"/>
        </w:rPr>
        <w:t>кейс-технологии</w:t>
      </w:r>
      <w:proofErr w:type="gramEnd"/>
      <w:r>
        <w:rPr>
          <w:sz w:val="28"/>
          <w:szCs w:val="28"/>
        </w:rPr>
        <w:t>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>
        <w:rPr>
          <w:sz w:val="28"/>
          <w:szCs w:val="28"/>
        </w:rPr>
        <w:t xml:space="preserve"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 xml:space="preserve">задания, например: </w:t>
      </w:r>
      <w:proofErr w:type="gramStart"/>
      <w:r>
        <w:rPr>
          <w:rStyle w:val="c0"/>
          <w:sz w:val="28"/>
          <w:szCs w:val="28"/>
          <w:shd w:val="clear" w:color="auto" w:fill="FFFFFF"/>
        </w:rPr>
        <w:t>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отметка, полученная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</w:t>
              </w:r>
              <w:proofErr w:type="gramStart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г</w:t>
              </w:r>
              <w:proofErr w:type="gramEnd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7F" w:rsidRDefault="00BF257F">
      <w:r>
        <w:separator/>
      </w:r>
    </w:p>
  </w:endnote>
  <w:endnote w:type="continuationSeparator" w:id="0">
    <w:p w:rsidR="00BF257F" w:rsidRDefault="00BF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7F" w:rsidRDefault="00BF257F">
      <w:r>
        <w:separator/>
      </w:r>
    </w:p>
  </w:footnote>
  <w:footnote w:type="continuationSeparator" w:id="0">
    <w:p w:rsidR="00BF257F" w:rsidRDefault="00BF257F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F"/>
    <w:rsid w:val="000E2AA3"/>
    <w:rsid w:val="00151F9F"/>
    <w:rsid w:val="004762E0"/>
    <w:rsid w:val="0059045D"/>
    <w:rsid w:val="0078663C"/>
    <w:rsid w:val="0080222F"/>
    <w:rsid w:val="00910AE2"/>
    <w:rsid w:val="00985122"/>
    <w:rsid w:val="00BF257F"/>
    <w:rsid w:val="00C26741"/>
    <w:rsid w:val="00E93C5A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13138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Сабир Керимов</cp:lastModifiedBy>
  <cp:revision>4</cp:revision>
  <cp:lastPrinted>1995-11-21T14:41:00Z</cp:lastPrinted>
  <dcterms:created xsi:type="dcterms:W3CDTF">2020-05-18T10:04:00Z</dcterms:created>
  <dcterms:modified xsi:type="dcterms:W3CDTF">2020-05-18T10:07:00Z</dcterms:modified>
</cp:coreProperties>
</file>